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</w:p>
    <w:p>
      <w:pPr>
        <w:pStyle w:val="Body"/>
      </w:pPr>
      <w:r>
        <w:rPr>
          <w:rtl w:val="0"/>
          <w:lang w:val="en-US"/>
        </w:rPr>
        <w:t>October 22, 2025</w:t>
      </w:r>
    </w:p>
    <w:p>
      <w:pPr>
        <w:pStyle w:val="Body"/>
        <w:spacing w:after="0"/>
      </w:pPr>
      <w:r>
        <w:rPr>
          <w:rtl w:val="0"/>
          <w:lang w:val="en-US"/>
        </w:rPr>
        <w:t>Oregon State Apprenticeship and Training Council Oregon Bureau of Labor and Industries</w:t>
      </w:r>
    </w:p>
    <w:p>
      <w:pPr>
        <w:pStyle w:val="Body"/>
        <w:spacing w:after="0"/>
      </w:pPr>
      <w:r>
        <w:rPr>
          <w:rtl w:val="0"/>
          <w:lang w:val="en-US"/>
        </w:rPr>
        <w:t>1800 SW 1st Ave, Suite 500</w:t>
      </w:r>
      <w:r>
        <w:br w:type="textWrapping"/>
      </w:r>
      <w:r>
        <w:rPr>
          <w:rtl w:val="0"/>
          <w:lang w:val="nl-NL"/>
        </w:rPr>
        <w:t>Portland, OR 97201</w:t>
      </w:r>
    </w:p>
    <w:p>
      <w:pPr>
        <w:pStyle w:val="Body"/>
        <w:spacing w:after="0"/>
      </w:pPr>
    </w:p>
    <w:p>
      <w:pPr>
        <w:pStyle w:val="Body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Subject:</w:t>
      </w:r>
      <w:r>
        <w:rPr>
          <w:rtl w:val="0"/>
          <w:lang w:val="en-US"/>
        </w:rPr>
        <w:t xml:space="preserve"> Comment in Opposition: Proposed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Apprentice On-the-Job Training Requirement</w:t>
      </w:r>
      <w:r>
        <w:rPr>
          <w:rtl w:val="0"/>
        </w:rPr>
        <w:t xml:space="preserve">” </w:t>
      </w:r>
      <w:r>
        <w:rPr>
          <w:rtl w:val="0"/>
          <w:lang w:val="fr-FR"/>
        </w:rPr>
        <w:t>Restrictions</w:t>
      </w:r>
    </w:p>
    <w:p>
      <w:pPr>
        <w:pStyle w:val="Body"/>
      </w:pPr>
      <w:r>
        <w:rPr>
          <w:rtl w:val="0"/>
          <w:lang w:val="en-US"/>
        </w:rPr>
        <w:t>Dear Oregon State Apprenticeship and Training Council, Director Jody Robbins and Commissioner Stephenson,</w:t>
      </w:r>
    </w:p>
    <w:p>
      <w:pPr>
        <w:pStyle w:val="Body"/>
      </w:pPr>
      <w:r>
        <w:rPr>
          <w:rtl w:val="0"/>
          <w:lang w:val="en-US"/>
        </w:rPr>
        <w:t>We respectfully submit these comments in opposition to the proposed policy language asserting that Oregon rules prohibit apprentices from performing work outside of the work processes listed in Appendix F.</w:t>
      </w:r>
    </w:p>
    <w:p>
      <w:pPr>
        <w:pStyle w:val="Body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1. Statutory and Rule Context</w:t>
      </w:r>
    </w:p>
    <w:p>
      <w:pPr>
        <w:pStyle w:val="Body"/>
        <w:numPr>
          <w:ilvl w:val="0"/>
          <w:numId w:val="2"/>
        </w:numPr>
      </w:pPr>
      <w:r>
        <w:rPr>
          <w:rFonts w:ascii="Aptos" w:cs="Aptos" w:hAnsi="Aptos" w:eastAsia="Aptos"/>
          <w:b w:val="1"/>
          <w:bCs w:val="1"/>
          <w:rtl w:val="0"/>
        </w:rPr>
        <w:t>ORS 660.126(1)(c)</w:t>
      </w:r>
      <w:r>
        <w:rPr>
          <w:rtl w:val="0"/>
          <w:lang w:val="en-US"/>
        </w:rPr>
        <w:t xml:space="preserve"> requires apprenticeship standards to outline work processes and allocate approximate time to them. It does not prohibit apprentices from performing other supervised work.</w:t>
      </w:r>
    </w:p>
    <w:p>
      <w:pPr>
        <w:pStyle w:val="Body"/>
        <w:numPr>
          <w:ilvl w:val="0"/>
          <w:numId w:val="2"/>
        </w:numPr>
      </w:pPr>
      <w:r>
        <w:rPr>
          <w:rFonts w:ascii="Aptos" w:cs="Aptos" w:hAnsi="Aptos" w:eastAsia="Aptos"/>
          <w:b w:val="1"/>
          <w:bCs w:val="1"/>
          <w:rtl w:val="0"/>
        </w:rPr>
        <w:t>OAR 839-011-0265</w:t>
      </w:r>
      <w:r>
        <w:rPr>
          <w:rtl w:val="0"/>
          <w:lang w:val="en-US"/>
        </w:rPr>
        <w:t xml:space="preserve"> ensures that apprentices receive at least 50% exposure in each work process for credit toward completion. This requirement protects the quality and breadth of training but does not bar employers from assigning additional lawful tasks.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Prevailing wage law</w:t>
      </w:r>
      <w:r>
        <w:rPr>
          <w:rtl w:val="0"/>
          <w:lang w:val="en-US"/>
        </w:rPr>
        <w:t xml:space="preserve"> allows workers, including apprentices, to perform multiple classifications provided they are paid the correct rate for the work performed. Restricting apprentices to Appendix F alone conflicts with this principle and may reduce earning opportunities.</w:t>
      </w:r>
    </w:p>
    <w:p>
      <w:pPr>
        <w:pStyle w:val="Body"/>
      </w:pPr>
      <w:r>
        <w:rPr>
          <w:rFonts w:ascii="Aptos" w:cs="Aptos" w:hAnsi="Aptos" w:eastAsia="Aptos"/>
          <w:b w:val="1"/>
          <w:bCs w:val="1"/>
          <w:rtl w:val="0"/>
        </w:rPr>
        <w:t>2. Policy Concerns</w:t>
      </w:r>
      <w:r>
        <w:br w:type="textWrapping"/>
      </w:r>
      <w:r>
        <w:rPr>
          <w:rtl w:val="0"/>
          <w:lang w:val="en-US"/>
        </w:rPr>
        <w:t>A categorical prohibition on work outside the listed processes would: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Curtail training opportunities</w:t>
      </w:r>
      <w:r>
        <w:rPr>
          <w:rtl w:val="0"/>
          <w:lang w:val="en-US"/>
        </w:rPr>
        <w:t xml:space="preserve"> by preventing apprentices from gaining exposure to real-world tasks that complement their trade education.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Jeopardize continuity of employment</w:t>
      </w:r>
      <w:r>
        <w:rPr>
          <w:rtl w:val="0"/>
          <w:lang w:val="en-US"/>
        </w:rPr>
        <w:t>, particularly when listed work processes are not available on a given project.</w:t>
      </w:r>
    </w:p>
    <w:p>
      <w:pPr>
        <w:pStyle w:val="Body"/>
        <w:numPr>
          <w:ilvl w:val="0"/>
          <w:numId w:val="4"/>
        </w:numPr>
        <w:rPr>
          <w:lang w:val="en-US"/>
        </w:rPr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Reduce wages</w:t>
      </w:r>
      <w:r>
        <w:rPr>
          <w:rtl w:val="0"/>
          <w:lang w:val="en-US"/>
        </w:rPr>
        <w:t xml:space="preserve"> by denying apprentices access to properly paid work in multiple classifications.</w:t>
      </w:r>
    </w:p>
    <w:p>
      <w:pPr>
        <w:pStyle w:val="Body"/>
      </w:pPr>
      <w:r>
        <w:rPr>
          <w:rtl w:val="0"/>
          <w:lang w:val="en-US"/>
        </w:rPr>
        <w:t xml:space="preserve">This restriction runs contrary to </w:t>
      </w:r>
      <w:r>
        <w:rPr>
          <w:rFonts w:ascii="Aptos" w:cs="Aptos" w:hAnsi="Aptos" w:eastAsia="Aptos"/>
          <w:b w:val="1"/>
          <w:bCs w:val="1"/>
          <w:rtl w:val="0"/>
        </w:rPr>
        <w:t>ORS 660.126(2)</w:t>
      </w:r>
      <w:r>
        <w:rPr>
          <w:rtl w:val="0"/>
          <w:lang w:val="en-US"/>
        </w:rPr>
        <w:t>, which directs the Council to avoid provisions that curtail training or continuity of employment.</w:t>
      </w:r>
    </w:p>
    <w:p>
      <w:pPr>
        <w:pStyle w:val="Body"/>
      </w:pPr>
      <w:r>
        <w:rPr>
          <w:rFonts w:ascii="Aptos" w:cs="Aptos" w:hAnsi="Aptos" w:eastAsia="Aptos"/>
          <w:b w:val="1"/>
          <w:bCs w:val="1"/>
          <w:rtl w:val="0"/>
          <w:lang w:val="en-US"/>
        </w:rPr>
        <w:t>3. Recommendation</w:t>
      </w:r>
      <w:r>
        <w:br w:type="textWrapping"/>
      </w:r>
      <w:r>
        <w:rPr>
          <w:rtl w:val="0"/>
          <w:lang w:val="en-US"/>
        </w:rPr>
        <w:t>The Council should reject the proposed interpretation and instead clarify that:</w:t>
      </w: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Work-process hours must be met for program completion.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Aptos" w:cs="Aptos" w:hAnsi="Aptos" w:eastAsia="Aptos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Apprenticeship committees shall be responsible for monitoring each apprentice</w:t>
      </w:r>
      <w:r>
        <w:rPr>
          <w:rFonts w:ascii="Aptos" w:cs="Aptos" w:hAnsi="Aptos" w:eastAsia="Aptos" w:hint="default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ptos" w:cs="Aptos" w:hAnsi="Aptos" w:eastAsia="Aptos"/>
          <w:outline w:val="0"/>
          <w:color w:val="000000"/>
          <w:kern w:val="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progress to ensure that the majority of work performed aligns with the work processes listed in the apprenticeship standards, while still allowing flexibility for other project work.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kern w:val="0"/>
        </w:rPr>
      </w:pPr>
    </w:p>
    <w:p>
      <w:pPr>
        <w:pStyle w:val="Body"/>
        <w:numPr>
          <w:ilvl w:val="0"/>
          <w:numId w:val="6"/>
        </w:numPr>
        <w:rPr>
          <w:lang w:val="en-US"/>
        </w:rPr>
      </w:pPr>
      <w:r>
        <w:rPr>
          <w:rtl w:val="0"/>
          <w:lang w:val="en-US"/>
        </w:rPr>
        <w:t>Apprentices may perform other work; however, such hours simply may not count toward specific work-process requirements.</w:t>
      </w:r>
    </w:p>
    <w:p>
      <w:pPr>
        <w:pStyle w:val="Body"/>
      </w:pPr>
      <w:r>
        <w:rPr>
          <w:rtl w:val="0"/>
          <w:lang w:val="en-US"/>
        </w:rPr>
        <w:t>This approach preserves training quality while ensuring apprentices can maintain employment and wages consistent with Oregon law.</w:t>
      </w:r>
    </w:p>
    <w:p>
      <w:pPr>
        <w:pStyle w:val="Body"/>
      </w:pPr>
      <w:r>
        <w:rPr>
          <w:rtl w:val="0"/>
          <w:lang w:val="en-US"/>
        </w:rPr>
        <w:t>Respectfully submitted,</w:t>
      </w:r>
      <w:r>
        <w:rPr>
          <w:rtl w:val="0"/>
        </w:rPr>
        <w:br w:type="textWrapping"/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